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rPr>
          <w:rFonts w:ascii="仿宋" w:hAnsi="仿宋" w:eastAsia="仿宋" w:cs="仿宋"/>
          <w:sz w:val="24"/>
          <w:szCs w:val="24"/>
        </w:rPr>
      </w:pPr>
      <w:bookmarkStart w:id="0" w:name="_Hlk129623656"/>
      <w:r>
        <w:rPr>
          <w:rFonts w:ascii="Times New Roman" w:hAnsi="Times New Roman" w:eastAsia="宋体"/>
          <w:color w:val="FF0000"/>
          <w:szCs w:val="21"/>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9801225</wp:posOffset>
                </wp:positionV>
                <wp:extent cx="6181725" cy="0"/>
                <wp:effectExtent l="28575" t="28575" r="28575" b="28575"/>
                <wp:wrapNone/>
                <wp:docPr id="7" name="直接连接符 3"/>
                <wp:cNvGraphicFramePr/>
                <a:graphic xmlns:a="http://schemas.openxmlformats.org/drawingml/2006/main">
                  <a:graphicData uri="http://schemas.microsoft.com/office/word/2010/wordprocessingShape">
                    <wps:wsp>
                      <wps:cNvCnPr>
                        <a:cxnSpLocks noChangeShapeType="1"/>
                      </wps:cNvCnPr>
                      <wps:spPr>
                        <a:xfrm>
                          <a:off x="0" y="0"/>
                          <a:ext cx="6181725" cy="0"/>
                        </a:xfrm>
                        <a:prstGeom prst="line">
                          <a:avLst/>
                        </a:prstGeom>
                        <a:ln w="57150" cmpd="thinThick">
                          <a:solidFill>
                            <a:srgbClr val="000000"/>
                          </a:solidFill>
                        </a:ln>
                      </wps:spPr>
                      <wps:bodyPr rot="0" vert="horz" wrap="square" lIns="91440" tIns="45720" rIns="91440" bIns="45720" anchor="t" anchorCtr="0"/>
                    </wps:wsp>
                  </a:graphicData>
                </a:graphic>
              </wp:anchor>
            </w:drawing>
          </mc:Choice>
          <mc:Fallback>
            <w:pict>
              <v:line id="直接连接符 3" o:spid="_x0000_s1026" o:spt="20" style="position:absolute;left:0pt;margin-left:57pt;margin-top:771.75pt;height:0pt;width:486.75pt;z-index:251660288;mso-width-relative:page;mso-height-relative:page;" filled="f" stroked="t" coordsize="21600,21600" o:gfxdata="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4V6HZAAAADgEAAA8A&#10;AAAAAAAAAQAgAAAAIgAAAGRycy9kb3ducmV2LnhtbFBLAQIUABQAAAAIAIdO4kCEo/ukFgIAAAgE&#10;AAAOAAAAAAAAAAEAIAAAACgBAABkcnMvZTJvRG9jLnhtbFBLBQYAAAAABgAGAFkBAACwBQAAAAA=&#10;">
                <v:fill on="f" focussize="0,0"/>
                <v:stroke weight="4.5pt" color="#000000" linestyle="thinThick" joinstyle="round"/>
                <v:imagedata o:title=""/>
                <o:lock v:ext="edit" aspectratio="f"/>
              </v:line>
            </w:pict>
          </mc:Fallback>
        </mc:AlternateContent>
      </w:r>
      <w:r>
        <w:rPr>
          <w:rFonts w:ascii="Times New Roman" w:hAnsi="Times New Roman" w:eastAsia="宋体"/>
          <w:color w:val="FF0000"/>
          <w:szCs w:val="21"/>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9801225</wp:posOffset>
                </wp:positionV>
                <wp:extent cx="6181725" cy="0"/>
                <wp:effectExtent l="28575" t="28575" r="28575" b="28575"/>
                <wp:wrapNone/>
                <wp:docPr id="9" name="直接连接符 1"/>
                <wp:cNvGraphicFramePr/>
                <a:graphic xmlns:a="http://schemas.openxmlformats.org/drawingml/2006/main">
                  <a:graphicData uri="http://schemas.microsoft.com/office/word/2010/wordprocessingShape">
                    <wps:wsp>
                      <wps:cNvCnPr>
                        <a:cxnSpLocks noChangeShapeType="1"/>
                      </wps:cNvCnPr>
                      <wps:spPr>
                        <a:xfrm>
                          <a:off x="0" y="0"/>
                          <a:ext cx="6181725" cy="0"/>
                        </a:xfrm>
                        <a:prstGeom prst="line">
                          <a:avLst/>
                        </a:prstGeom>
                        <a:ln w="57150" cmpd="thinThick">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margin-left:57pt;margin-top:771.75pt;height:0pt;width:486.75pt;z-index:251659264;mso-width-relative:page;mso-height-relative:page;" filled="f" stroked="t" coordsize="21600,21600" o:gfxdata="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4V6HZAAAADgEAAA8A&#10;AAAAAAAAAQAgAAAAIgAAAGRycy9kb3ducmV2LnhtbFBLAQIUABQAAAAIAIdO4kA/Fdo7FgIAAAgE&#10;AAAOAAAAAAAAAAEAIAAAACgBAABkcnMvZTJvRG9jLnhtbFBLBQYAAAAABgAGAFkBAACwBQAAAAA=&#10;">
                <v:fill on="f" focussize="0,0"/>
                <v:stroke weight="4.5pt" color="#000000" linestyle="thinThick" joinstyle="round"/>
                <v:imagedata o:title=""/>
                <o:lock v:ext="edit" aspectratio="f"/>
              </v:line>
            </w:pict>
          </mc:Fallback>
        </mc:AlternateContent>
      </w:r>
      <w:r>
        <w:rPr>
          <w:rFonts w:hint="eastAsia" w:ascii="仿宋" w:hAnsi="仿宋" w:eastAsia="仿宋" w:cs="仿宋"/>
          <w:sz w:val="24"/>
          <w:szCs w:val="24"/>
        </w:rPr>
        <w:t>附件2：</w:t>
      </w:r>
    </w:p>
    <w:p>
      <w:pPr>
        <w:rPr>
          <w:rFonts w:ascii="仿宋" w:hAnsi="仿宋" w:eastAsia="仿宋" w:cs="仿宋"/>
          <w:sz w:val="24"/>
          <w:szCs w:val="24"/>
        </w:rPr>
      </w:pPr>
    </w:p>
    <w:p>
      <w:pPr>
        <w:spacing w:beforeAutospacing="0" w:afterAutospacing="0" w:line="360" w:lineRule="auto"/>
        <w:jc w:val="center"/>
        <w:rPr>
          <w:rFonts w:ascii="仿宋" w:hAnsi="仿宋" w:eastAsia="仿宋" w:cs="仿宋"/>
          <w:b/>
          <w:bCs/>
          <w:sz w:val="24"/>
          <w:szCs w:val="24"/>
        </w:rPr>
      </w:pPr>
      <w:bookmarkStart w:id="2" w:name="_GoBack"/>
      <w:bookmarkStart w:id="1" w:name="_Hlk66815536"/>
      <w:bookmarkEnd w:id="1"/>
      <w:r>
        <w:rPr>
          <w:rFonts w:hint="eastAsia" w:ascii="仿宋" w:hAnsi="仿宋" w:eastAsia="仿宋" w:cs="仿宋"/>
          <w:b/>
          <w:bCs/>
          <w:sz w:val="24"/>
          <w:szCs w:val="24"/>
        </w:rPr>
        <w:t>第五届“京东杯”广东省大学生物流设计大赛</w:t>
      </w:r>
    </w:p>
    <w:bookmarkEnd w:id="0"/>
    <w:p>
      <w:pPr>
        <w:jc w:val="center"/>
        <w:rPr>
          <w:rFonts w:ascii="仿宋" w:hAnsi="仿宋" w:eastAsia="仿宋"/>
          <w:b/>
          <w:bCs/>
          <w:sz w:val="24"/>
          <w:szCs w:val="24"/>
        </w:rPr>
      </w:pPr>
      <w:r>
        <w:rPr>
          <w:rFonts w:hint="eastAsia" w:ascii="仿宋" w:hAnsi="仿宋" w:eastAsia="仿宋" w:cs="仿宋"/>
          <w:b/>
          <w:bCs/>
          <w:sz w:val="24"/>
          <w:szCs w:val="24"/>
        </w:rPr>
        <w:t>决赛评分表</w:t>
      </w:r>
      <w:r>
        <w:rPr>
          <w:rFonts w:ascii="仿宋" w:hAnsi="仿宋" w:eastAsia="仿宋" w:cs="仿宋"/>
          <w:b/>
          <w:bCs/>
          <w:sz w:val="24"/>
          <w:szCs w:val="24"/>
        </w:rPr>
        <w:t>—</w:t>
      </w:r>
      <w:r>
        <w:rPr>
          <w:rFonts w:hint="eastAsia" w:ascii="仿宋" w:hAnsi="仿宋" w:eastAsia="仿宋" w:cs="仿宋"/>
          <w:b/>
          <w:bCs/>
          <w:sz w:val="24"/>
          <w:szCs w:val="24"/>
        </w:rPr>
        <w:t>京东仓网规划设计</w:t>
      </w:r>
    </w:p>
    <w:bookmarkEnd w:id="2"/>
    <w:p>
      <w:pPr>
        <w:spacing w:beforeAutospacing="0" w:afterAutospacing="0" w:line="360" w:lineRule="auto"/>
        <w:rPr>
          <w:rFonts w:ascii="仿宋_GB2312" w:hAnsi="宋体" w:eastAsia="仿宋_GB2312"/>
          <w:sz w:val="24"/>
          <w:szCs w:val="24"/>
        </w:rPr>
      </w:pPr>
      <w:r>
        <w:rPr>
          <w:rFonts w:hint="eastAsia" w:ascii="仿宋_GB2312" w:hAnsi="宋体" w:eastAsia="仿宋_GB2312" w:cs="仿宋_GB2312"/>
          <w:sz w:val="24"/>
          <w:szCs w:val="24"/>
        </w:rPr>
        <w:t>作品编号：</w:t>
      </w:r>
    </w:p>
    <w:tbl>
      <w:tblPr>
        <w:tblStyle w:val="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1266"/>
        <w:gridCol w:w="1276"/>
        <w:gridCol w:w="5386"/>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34" w:hRule="atLeast"/>
          <w:tblHeader/>
          <w:jc w:val="center"/>
        </w:trPr>
        <w:tc>
          <w:tcPr>
            <w:tcW w:w="1266" w:type="dxa"/>
            <w:tcBorders>
              <w:top w:val="single" w:color="auto" w:sz="8" w:space="0"/>
            </w:tcBorders>
            <w:vAlign w:val="center"/>
          </w:tcPr>
          <w:p>
            <w:pPr>
              <w:spacing w:beforeAutospacing="0" w:afterAutospacing="0" w:line="360" w:lineRule="auto"/>
              <w:jc w:val="center"/>
              <w:rPr>
                <w:rFonts w:ascii="仿宋" w:hAnsi="仿宋" w:eastAsia="仿宋"/>
                <w:b/>
                <w:bCs/>
                <w:sz w:val="24"/>
                <w:szCs w:val="24"/>
              </w:rPr>
            </w:pPr>
            <w:r>
              <w:rPr>
                <w:rFonts w:hint="eastAsia" w:ascii="仿宋" w:hAnsi="仿宋" w:eastAsia="仿宋" w:cs="仿宋"/>
                <w:b/>
                <w:bCs/>
                <w:sz w:val="24"/>
                <w:szCs w:val="24"/>
              </w:rPr>
              <w:t>指标</w:t>
            </w:r>
          </w:p>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（分值）</w:t>
            </w:r>
          </w:p>
        </w:tc>
        <w:tc>
          <w:tcPr>
            <w:tcW w:w="6662" w:type="dxa"/>
            <w:gridSpan w:val="2"/>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指标说明</w:t>
            </w:r>
          </w:p>
        </w:tc>
        <w:tc>
          <w:tcPr>
            <w:tcW w:w="709" w:type="dxa"/>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书面评审</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30%</w:t>
            </w:r>
            <w:r>
              <w:rPr>
                <w:rFonts w:hint="eastAsia" w:ascii="仿宋" w:hAnsi="仿宋" w:eastAsia="仿宋" w:cs="仿宋"/>
                <w:b/>
                <w:bCs/>
                <w:sz w:val="24"/>
                <w:szCs w:val="24"/>
              </w:rPr>
              <w:t>）</w:t>
            </w: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针对性：（0</w:t>
            </w:r>
            <w:r>
              <w:rPr>
                <w:rFonts w:ascii="仿宋" w:hAnsi="仿宋" w:eastAsia="仿宋" w:cs="仿宋"/>
                <w:sz w:val="24"/>
                <w:szCs w:val="24"/>
              </w:rPr>
              <w:t>-10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1.选题恰当，</w:t>
            </w:r>
            <w:r>
              <w:rPr>
                <w:rFonts w:hint="eastAsia" w:ascii="仿宋" w:hAnsi="仿宋" w:eastAsia="仿宋" w:cs="仿宋"/>
                <w:sz w:val="24"/>
                <w:szCs w:val="24"/>
              </w:rPr>
              <w:t>主题符合比赛选题方向，能够依据实际的项目案例背景和场景来制作文案，</w:t>
            </w:r>
            <w:r>
              <w:rPr>
                <w:rFonts w:ascii="仿宋" w:hAnsi="仿宋" w:eastAsia="仿宋" w:cs="仿宋"/>
                <w:sz w:val="24"/>
                <w:szCs w:val="24"/>
              </w:rPr>
              <w:t>问题把握准确，重点突出；</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2.围绕企业的实际情况确定选题，解决企业遇到的具体问题，分析深入，解决方案明确；</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3.报告中的所有文字描述、图表等材料互相支持，共同解决所确定的问题。</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有效性（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1.报告依据充分，</w:t>
            </w:r>
            <w:r>
              <w:rPr>
                <w:rFonts w:hint="eastAsia" w:ascii="仿宋" w:hAnsi="仿宋" w:eastAsia="仿宋" w:cs="仿宋"/>
                <w:sz w:val="24"/>
                <w:szCs w:val="24"/>
              </w:rPr>
              <w:t>分析视角清晰，与现实问题结合紧密，具有一定的可实现性，</w:t>
            </w:r>
            <w:r>
              <w:rPr>
                <w:rFonts w:ascii="仿宋" w:hAnsi="仿宋" w:eastAsia="仿宋" w:cs="仿宋"/>
                <w:sz w:val="24"/>
                <w:szCs w:val="24"/>
              </w:rPr>
              <w:t>对企业解决问题有指导意义；</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2.解决方案预期可以获得较好的运作和财务效果，并具有推广价值。</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文案表现力规范性（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作品结构合理、思路清晰，所用技术方法、分析数据、图标等能相互支撑。</w:t>
            </w:r>
          </w:p>
          <w:p>
            <w:pPr>
              <w:spacing w:beforeAutospacing="0" w:afterAutospacing="0" w:line="440" w:lineRule="exact"/>
              <w:rPr>
                <w:rFonts w:ascii="仿宋" w:hAnsi="仿宋" w:eastAsia="仿宋"/>
                <w:sz w:val="24"/>
                <w:szCs w:val="24"/>
              </w:rPr>
            </w:pPr>
            <w:r>
              <w:rPr>
                <w:rFonts w:ascii="仿宋" w:hAnsi="仿宋" w:eastAsia="仿宋"/>
                <w:sz w:val="24"/>
                <w:szCs w:val="24"/>
              </w:rPr>
              <w:t>2.</w:t>
            </w:r>
            <w:r>
              <w:rPr>
                <w:rFonts w:hint="eastAsia"/>
              </w:rPr>
              <w:t xml:space="preserve"> </w:t>
            </w:r>
            <w:r>
              <w:rPr>
                <w:rFonts w:hint="eastAsia" w:ascii="仿宋" w:hAnsi="仿宋" w:eastAsia="仿宋"/>
                <w:sz w:val="24"/>
                <w:szCs w:val="24"/>
              </w:rPr>
              <w:t>提交评审的文档材料齐全、排版整齐、规范、美观、图纸整洁。</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答辩</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70%</w:t>
            </w:r>
            <w:r>
              <w:rPr>
                <w:rFonts w:hint="eastAsia" w:ascii="仿宋" w:hAnsi="仿宋" w:eastAsia="仿宋" w:cs="仿宋"/>
                <w:b/>
                <w:bCs/>
                <w:sz w:val="24"/>
                <w:szCs w:val="24"/>
              </w:rPr>
              <w:t>）</w:t>
            </w:r>
          </w:p>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正式陈述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能够清晰地介绍所陈述企业项目的背景，包括行业特性、产品、仓网现状以及存在的问题等。能够基于清晰的介绍明确方案设计的目的，以及要为企业解决的仓网优化的方向。（</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pStyle w:val="16"/>
              <w:spacing w:beforeAutospacing="0" w:afterAutospacing="0" w:line="360" w:lineRule="auto"/>
              <w:ind w:firstLine="0" w:firstLineChars="0"/>
              <w:rPr>
                <w:rFonts w:ascii="仿宋" w:hAnsi="仿宋" w:eastAsia="仿宋" w:cs="仿宋"/>
                <w:sz w:val="24"/>
                <w:szCs w:val="24"/>
              </w:rPr>
            </w:pPr>
            <w:r>
              <w:rPr>
                <w:rFonts w:hint="eastAsia" w:ascii="仿宋" w:hAnsi="仿宋" w:eastAsia="仿宋" w:cs="仿宋"/>
                <w:sz w:val="24"/>
                <w:szCs w:val="24"/>
              </w:rPr>
              <w:t>阐述能够从企业战略角度，具备一定的高度立意，对行业现状和企业文化有一定了解，对市场预期有清晰的阐述，并依据市场预期结合仓网规划系统辅助展示的可视化数据进行作证说明。（0</w:t>
            </w:r>
            <w:r>
              <w:rPr>
                <w:rFonts w:ascii="仿宋" w:hAnsi="仿宋" w:eastAsia="仿宋" w:cs="仿宋"/>
                <w:sz w:val="24"/>
                <w:szCs w:val="24"/>
              </w:rPr>
              <w:t>-15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回答提问</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对评委问题的要点有准确的理解，回答具有针对性而不是泛泛而谈。（</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能在评委提问结束后迅速作出回答，回答内容连贯、条理清楚。（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回答内容建立在准确的事实和可信的逻辑推理上。（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对评委特别指出的方面能作出充分的说明和解释。（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整体表现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20%</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陈述和回答问题的内容具有整体一致性，语言清晰明了。在规定时间内回答评委提问，无拖延时间的行为。（</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团队成员在陈述时有较好的配合，能协调合作，彼此互补，对相关领域的问题能阐述清楚。（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cs="仿宋"/>
                <w:sz w:val="24"/>
                <w:szCs w:val="24"/>
              </w:rPr>
            </w:pPr>
            <w:r>
              <w:rPr>
                <w:rFonts w:hint="eastAsia" w:ascii="仿宋" w:hAnsi="仿宋" w:eastAsia="仿宋" w:cs="仿宋"/>
                <w:sz w:val="24"/>
                <w:szCs w:val="24"/>
              </w:rPr>
              <w:t>仓网优化方案通过阐述答辩能够体现实际的落地性，具备创新思维，对企业有降本增效的显示价值。（0</w:t>
            </w:r>
            <w:r>
              <w:rPr>
                <w:rFonts w:ascii="仿宋" w:hAnsi="仿宋" w:eastAsia="仿宋" w:cs="仿宋"/>
                <w:sz w:val="24"/>
                <w:szCs w:val="24"/>
              </w:rPr>
              <w:t>-5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391" w:hRule="atLeast"/>
          <w:jc w:val="center"/>
        </w:trPr>
        <w:tc>
          <w:tcPr>
            <w:tcW w:w="1266" w:type="dxa"/>
            <w:tcBorders>
              <w:bottom w:val="single" w:color="auto" w:sz="8" w:space="0"/>
            </w:tcBorders>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评语</w:t>
            </w:r>
          </w:p>
        </w:tc>
        <w:tc>
          <w:tcPr>
            <w:tcW w:w="6662" w:type="dxa"/>
            <w:gridSpan w:val="2"/>
            <w:tcBorders>
              <w:bottom w:val="single" w:color="auto" w:sz="8" w:space="0"/>
            </w:tcBorders>
            <w:vAlign w:val="center"/>
          </w:tcPr>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360" w:lineRule="auto"/>
              <w:jc w:val="center"/>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签名：</w:t>
            </w:r>
          </w:p>
          <w:p>
            <w:pPr>
              <w:spacing w:beforeAutospacing="0" w:afterAutospacing="0" w:line="440" w:lineRule="exact"/>
              <w:ind w:left="3831" w:leftChars="1653" w:hanging="360" w:hangingChars="150"/>
              <w:rPr>
                <w:rFonts w:ascii="仿宋" w:hAnsi="仿宋" w:eastAsia="仿宋"/>
                <w:sz w:val="24"/>
                <w:szCs w:val="24"/>
              </w:rPr>
            </w:pPr>
            <w:r>
              <w:rPr>
                <w:rFonts w:hint="eastAsia" w:ascii="仿宋" w:hAnsi="仿宋" w:eastAsia="仿宋" w:cs="仿宋"/>
                <w:sz w:val="24"/>
                <w:szCs w:val="24"/>
              </w:rPr>
              <w:t>年   月    日</w:t>
            </w:r>
          </w:p>
        </w:tc>
        <w:tc>
          <w:tcPr>
            <w:tcW w:w="709" w:type="dxa"/>
            <w:tcBorders>
              <w:bottom w:val="single" w:color="auto" w:sz="8" w:space="0"/>
            </w:tcBorders>
            <w:vAlign w:val="center"/>
          </w:tcPr>
          <w:p>
            <w:pPr>
              <w:spacing w:beforeAutospacing="0" w:afterAutospacing="0" w:line="440" w:lineRule="exact"/>
              <w:rPr>
                <w:rFonts w:ascii="仿宋" w:hAnsi="仿宋" w:eastAsia="仿宋"/>
                <w:sz w:val="24"/>
                <w:szCs w:val="24"/>
              </w:rPr>
            </w:pPr>
          </w:p>
        </w:tc>
      </w:tr>
    </w:tbl>
    <w:p>
      <w:pPr>
        <w:spacing w:beforeAutospacing="0" w:afterAutospacing="0" w:line="360" w:lineRule="auto"/>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MjZhYzVjY2I3MDViOWExMzVlZDI4YjdiMjhjYWMifQ=="/>
  </w:docVars>
  <w:rsids>
    <w:rsidRoot w:val="005F36E0"/>
    <w:rsid w:val="0000295C"/>
    <w:rsid w:val="000144F8"/>
    <w:rsid w:val="0004392D"/>
    <w:rsid w:val="000B73F4"/>
    <w:rsid w:val="000F5EF1"/>
    <w:rsid w:val="00111968"/>
    <w:rsid w:val="001173FD"/>
    <w:rsid w:val="00147ECD"/>
    <w:rsid w:val="001D3DB0"/>
    <w:rsid w:val="001F7349"/>
    <w:rsid w:val="002D75C6"/>
    <w:rsid w:val="00386C16"/>
    <w:rsid w:val="00445BFB"/>
    <w:rsid w:val="004C3D8B"/>
    <w:rsid w:val="004E7787"/>
    <w:rsid w:val="0058582C"/>
    <w:rsid w:val="005A6F1D"/>
    <w:rsid w:val="005F36E0"/>
    <w:rsid w:val="006943B0"/>
    <w:rsid w:val="007631DF"/>
    <w:rsid w:val="007D478D"/>
    <w:rsid w:val="007D7B05"/>
    <w:rsid w:val="0094741C"/>
    <w:rsid w:val="009740ED"/>
    <w:rsid w:val="00A4665B"/>
    <w:rsid w:val="00A7336E"/>
    <w:rsid w:val="00AC1DB2"/>
    <w:rsid w:val="00AC43D5"/>
    <w:rsid w:val="00AE347E"/>
    <w:rsid w:val="00BE3E4B"/>
    <w:rsid w:val="00C9037D"/>
    <w:rsid w:val="00D55624"/>
    <w:rsid w:val="00DC2F1E"/>
    <w:rsid w:val="00F0759D"/>
    <w:rsid w:val="00F1354D"/>
    <w:rsid w:val="00F9356B"/>
    <w:rsid w:val="00FA5A23"/>
    <w:rsid w:val="2D984D48"/>
    <w:rsid w:val="69B5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beforeAutospacing="0" w:after="120" w:afterAutospacing="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标题 4 字符"/>
    <w:basedOn w:val="9"/>
    <w:link w:val="2"/>
    <w:uiPriority w:val="9"/>
    <w:rPr>
      <w:rFonts w:ascii="宋体" w:hAnsi="宋体" w:eastAsia="宋体" w:cs="宋体"/>
      <w:b/>
      <w:bCs/>
      <w:kern w:val="0"/>
      <w:sz w:val="24"/>
      <w:szCs w:val="24"/>
    </w:rPr>
  </w:style>
  <w:style w:type="paragraph" w:customStyle="1" w:styleId="15">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列出段落1"/>
    <w:basedOn w:val="1"/>
    <w:qFormat/>
    <w:uiPriority w:val="99"/>
    <w:pPr>
      <w:ind w:firstLine="420" w:firstLineChars="200"/>
    </w:pPr>
    <w:rPr>
      <w:rFonts w:ascii="Calibri" w:hAnsi="Calibri" w:eastAsia="宋体" w:cs="Calibri"/>
      <w:szCs w:val="21"/>
    </w:rPr>
  </w:style>
  <w:style w:type="character" w:customStyle="1" w:styleId="17">
    <w:name w:val="正文文本 字符"/>
    <w:basedOn w:val="9"/>
    <w:link w:val="3"/>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547</Words>
  <Characters>587</Characters>
  <Lines>36</Lines>
  <Paragraphs>10</Paragraphs>
  <TotalTime>284</TotalTime>
  <ScaleCrop>false</ScaleCrop>
  <LinksUpToDate>false</LinksUpToDate>
  <CharactersWithSpaces>594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2023-03-04T10:56:00Z</dcterms:created>
  <dc:creator>WU Xia</dc:creator>
  <cp:lastModifiedBy>十二</cp:lastModifiedBy>
  <dcterms:modified xsi:type="dcterms:W3CDTF">2023-03-19T13:25:48Z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B389830DC76D4B16A3B42C1F2E27C851</vt:lpwstr>
  </property>
</Properties>
</file>